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EB Garamond" w:cs="EB Garamond" w:eastAsia="EB Garamond" w:hAnsi="EB Garamond"/>
          <w:b w:val="1"/>
          <w:sz w:val="30"/>
          <w:szCs w:val="30"/>
        </w:rPr>
      </w:pPr>
      <w:r w:rsidDel="00000000" w:rsidR="00000000" w:rsidRPr="00000000">
        <w:rPr>
          <w:rFonts w:ascii="EB Garamond" w:cs="EB Garamond" w:eastAsia="EB Garamond" w:hAnsi="EB Garamond"/>
          <w:b w:val="1"/>
          <w:sz w:val="30"/>
          <w:szCs w:val="30"/>
          <w:rtl w:val="0"/>
        </w:rPr>
        <w:t xml:space="preserve">DBQ Argument Building Activity</w:t>
      </w:r>
    </w:p>
    <w:p w:rsidR="00000000" w:rsidDel="00000000" w:rsidP="00000000" w:rsidRDefault="00000000" w:rsidRPr="00000000" w14:paraId="00000002">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3">
      <w:pPr>
        <w:rPr>
          <w:rFonts w:ascii="EB Garamond" w:cs="EB Garamond" w:eastAsia="EB Garamond" w:hAnsi="EB Garamond"/>
        </w:rPr>
      </w:pPr>
      <w:r w:rsidDel="00000000" w:rsidR="00000000" w:rsidRPr="00000000">
        <w:rPr>
          <w:rFonts w:ascii="EB Garamond" w:cs="EB Garamond" w:eastAsia="EB Garamond" w:hAnsi="EB Garamond"/>
          <w:rtl w:val="0"/>
        </w:rPr>
        <w:t xml:space="preserve">Let’s take DBQ writing a step further. We will be taking the DBQ and building the argument in an outline format piece by piece. The goal is to speed up our process so that you can eventually plan your DBQ in 15 minutes or so, and then move to writing.</w:t>
      </w:r>
    </w:p>
    <w:p w:rsidR="00000000" w:rsidDel="00000000" w:rsidP="00000000" w:rsidRDefault="00000000" w:rsidRPr="00000000" w14:paraId="00000004">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5">
      <w:pPr>
        <w:rPr>
          <w:rFonts w:ascii="EB Garamond" w:cs="EB Garamond" w:eastAsia="EB Garamond" w:hAnsi="EB Garamond"/>
        </w:rPr>
      </w:pPr>
      <w:r w:rsidDel="00000000" w:rsidR="00000000" w:rsidRPr="00000000">
        <w:rPr>
          <w:rFonts w:ascii="EB Garamond" w:cs="EB Garamond" w:eastAsia="EB Garamond" w:hAnsi="EB Garamond"/>
          <w:rtl w:val="0"/>
        </w:rPr>
        <w:t xml:space="preserve">Remember, that you will always see the following  when you get your DBQ. It’s the rubric, just not in “rubric format.” The bulleted points go with each of the points on the rubric to remind you of what you need to accomplish. </w:t>
      </w:r>
    </w:p>
    <w:p w:rsidR="00000000" w:rsidDel="00000000" w:rsidP="00000000" w:rsidRDefault="00000000" w:rsidRPr="00000000" w14:paraId="00000006">
      <w:pPr>
        <w:rPr>
          <w:rFonts w:ascii="EB Garamond" w:cs="EB Garamond" w:eastAsia="EB Garamond" w:hAnsi="EB Garamond"/>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Question 1 (Document Based Question)</w:t>
            </w:r>
          </w:p>
          <w:p w:rsidR="00000000" w:rsidDel="00000000" w:rsidP="00000000" w:rsidRDefault="00000000" w:rsidRPr="00000000" w14:paraId="00000008">
            <w:pPr>
              <w:spacing w:line="240" w:lineRule="auto"/>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Suggested writing time:1 hour</w:t>
            </w:r>
          </w:p>
          <w:p w:rsidR="00000000" w:rsidDel="00000000" w:rsidP="00000000" w:rsidRDefault="00000000" w:rsidRPr="00000000" w14:paraId="00000009">
            <w:pPr>
              <w:spacing w:line="240" w:lineRule="auto"/>
              <w:jc w:val="cente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It is suggested that you spend 15 minutes reading the documents and 45 minutes writing your response. </w:t>
            </w:r>
          </w:p>
          <w:p w:rsidR="00000000" w:rsidDel="00000000" w:rsidP="00000000" w:rsidRDefault="00000000" w:rsidRPr="00000000" w14:paraId="0000000B">
            <w:pPr>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Note: You may begin writing your response before the reading period is over. </w:t>
            </w:r>
          </w:p>
          <w:p w:rsidR="00000000" w:rsidDel="00000000" w:rsidP="00000000" w:rsidRDefault="00000000" w:rsidRPr="00000000" w14:paraId="0000000C">
            <w:pPr>
              <w:spacing w:line="240" w:lineRule="auto"/>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Directions: </w:t>
            </w:r>
            <w:r w:rsidDel="00000000" w:rsidR="00000000" w:rsidRPr="00000000">
              <w:rPr>
                <w:rFonts w:ascii="EB Garamond" w:cs="EB Garamond" w:eastAsia="EB Garamond" w:hAnsi="EB Garamond"/>
                <w:sz w:val="24"/>
                <w:szCs w:val="24"/>
                <w:rtl w:val="0"/>
              </w:rPr>
              <w:t xml:space="preserve">Question 1 is based on the accompanying documents. The documents have been edited for the purpose of this exercise. </w:t>
            </w:r>
          </w:p>
          <w:p w:rsidR="00000000" w:rsidDel="00000000" w:rsidP="00000000" w:rsidRDefault="00000000" w:rsidRPr="00000000" w14:paraId="0000000E">
            <w:pPr>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0F">
            <w:pPr>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your response you should do the following.</w:t>
            </w:r>
          </w:p>
          <w:p w:rsidR="00000000" w:rsidDel="00000000" w:rsidP="00000000" w:rsidRDefault="00000000" w:rsidRPr="00000000" w14:paraId="00000010">
            <w:pPr>
              <w:numPr>
                <w:ilvl w:val="0"/>
                <w:numId w:val="1"/>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Respond to the prompt with a historically defensible thesis or claim that establishes a line of reasoning.</w:t>
            </w:r>
          </w:p>
          <w:p w:rsidR="00000000" w:rsidDel="00000000" w:rsidP="00000000" w:rsidRDefault="00000000" w:rsidRPr="00000000" w14:paraId="00000011">
            <w:pPr>
              <w:numPr>
                <w:ilvl w:val="0"/>
                <w:numId w:val="1"/>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Describe a broader historical context relevant to the prompt.</w:t>
            </w:r>
          </w:p>
          <w:p w:rsidR="00000000" w:rsidDel="00000000" w:rsidP="00000000" w:rsidRDefault="00000000" w:rsidRPr="00000000" w14:paraId="00000012">
            <w:pPr>
              <w:numPr>
                <w:ilvl w:val="0"/>
                <w:numId w:val="1"/>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Support an argument in response to the prompt using at least six documents.</w:t>
            </w:r>
          </w:p>
          <w:p w:rsidR="00000000" w:rsidDel="00000000" w:rsidP="00000000" w:rsidRDefault="00000000" w:rsidRPr="00000000" w14:paraId="00000013">
            <w:pPr>
              <w:numPr>
                <w:ilvl w:val="0"/>
                <w:numId w:val="1"/>
              </w:numPr>
              <w:spacing w:line="24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Use at least one additional piece of specific historical evidence (beyond that found in the documents) relevant to an argument about the prompt.</w:t>
            </w:r>
          </w:p>
          <w:p w:rsidR="00000000" w:rsidDel="00000000" w:rsidP="00000000" w:rsidRDefault="00000000" w:rsidRPr="00000000" w14:paraId="00000014">
            <w:pPr>
              <w:numPr>
                <w:ilvl w:val="0"/>
                <w:numId w:val="1"/>
              </w:numPr>
              <w:spacing w:line="24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For at least three documents, explain how or why the document’s point of view, purpose, historical situation, and/or audience is relevant to an argument.</w:t>
            </w:r>
          </w:p>
          <w:p w:rsidR="00000000" w:rsidDel="00000000" w:rsidP="00000000" w:rsidRDefault="00000000" w:rsidRPr="00000000" w14:paraId="00000015">
            <w:pPr>
              <w:numPr>
                <w:ilvl w:val="0"/>
                <w:numId w:val="1"/>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Use evidence to corroborate, qualify, or modify an argument that addresses the prompt.</w:t>
            </w:r>
            <w:r w:rsidDel="00000000" w:rsidR="00000000" w:rsidRPr="00000000">
              <w:rPr>
                <w:rtl w:val="0"/>
              </w:rPr>
            </w:r>
          </w:p>
        </w:tc>
      </w:tr>
    </w:tbl>
    <w:p w:rsidR="00000000" w:rsidDel="00000000" w:rsidP="00000000" w:rsidRDefault="00000000" w:rsidRPr="00000000" w14:paraId="00000016">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7">
      <w:pPr>
        <w:spacing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We will use the following question for our activity today:</w:t>
      </w:r>
    </w:p>
    <w:p w:rsidR="00000000" w:rsidDel="00000000" w:rsidP="00000000" w:rsidRDefault="00000000" w:rsidRPr="00000000" w14:paraId="00000018">
      <w:pPr>
        <w:spacing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19">
      <w:pPr>
        <w:spacing w:before="0" w:line="240" w:lineRule="auto"/>
        <w:rPr>
          <w:rFonts w:ascii="EB Garamond" w:cs="EB Garamond" w:eastAsia="EB Garamond" w:hAnsi="EB Garamond"/>
          <w:b w:val="1"/>
          <w:i w:val="1"/>
          <w:sz w:val="24"/>
          <w:szCs w:val="24"/>
        </w:rPr>
      </w:pPr>
      <w:r w:rsidDel="00000000" w:rsidR="00000000" w:rsidRPr="00000000">
        <w:rPr>
          <w:rFonts w:ascii="EB Garamond" w:cs="EB Garamond" w:eastAsia="EB Garamond" w:hAnsi="EB Garamond"/>
          <w:b w:val="1"/>
          <w:i w:val="1"/>
          <w:sz w:val="24"/>
          <w:szCs w:val="24"/>
          <w:rtl w:val="0"/>
        </w:rPr>
        <w:t xml:space="preserve">Evaluate the extent to which the spread of industrialization was similar in Japan and Russia in the late nineteenth and early twentieth centuries.</w:t>
      </w:r>
    </w:p>
    <w:p w:rsidR="00000000" w:rsidDel="00000000" w:rsidP="00000000" w:rsidRDefault="00000000" w:rsidRPr="00000000" w14:paraId="0000001A">
      <w:pPr>
        <w:spacing w:before="0" w:line="240" w:lineRule="auto"/>
        <w:rPr>
          <w:rFonts w:ascii="EB Garamond" w:cs="EB Garamond" w:eastAsia="EB Garamond" w:hAnsi="EB Garamond"/>
          <w:b w:val="1"/>
          <w:i w:val="1"/>
          <w:sz w:val="24"/>
          <w:szCs w:val="24"/>
        </w:rPr>
      </w:pPr>
      <w:r w:rsidDel="00000000" w:rsidR="00000000" w:rsidRPr="00000000">
        <w:rPr>
          <w:rtl w:val="0"/>
        </w:rPr>
      </w:r>
    </w:p>
    <w:p w:rsidR="00000000" w:rsidDel="00000000" w:rsidP="00000000" w:rsidRDefault="00000000" w:rsidRPr="00000000" w14:paraId="0000001B">
      <w:pPr>
        <w:numPr>
          <w:ilvl w:val="0"/>
          <w:numId w:val="2"/>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Make sure you understand the question. What is it really asking you to do?</w:t>
      </w:r>
    </w:p>
    <w:p w:rsidR="00000000" w:rsidDel="00000000" w:rsidP="00000000" w:rsidRDefault="00000000" w:rsidRPr="00000000" w14:paraId="0000001C">
      <w:pPr>
        <w:spacing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D">
      <w:pPr>
        <w:spacing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E">
      <w:pPr>
        <w:numPr>
          <w:ilvl w:val="0"/>
          <w:numId w:val="2"/>
        </w:numPr>
        <w:spacing w:before="0" w:line="24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Analyze the documents so that you understand your evidence. Are there any you have questions about?</w:t>
      </w:r>
    </w:p>
    <w:p w:rsidR="00000000" w:rsidDel="00000000" w:rsidP="00000000" w:rsidRDefault="00000000" w:rsidRPr="00000000" w14:paraId="0000001F">
      <w:pPr>
        <w:spacing w:before="0" w:line="24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0">
      <w:pPr>
        <w:spacing w:before="0" w:line="24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1">
      <w:pPr>
        <w:numPr>
          <w:ilvl w:val="0"/>
          <w:numId w:val="2"/>
        </w:numPr>
        <w:spacing w:before="0" w:line="24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Now, fill in the graphic organizer!</w:t>
      </w:r>
      <w:r w:rsidDel="00000000" w:rsidR="00000000" w:rsidRPr="00000000">
        <w:rPr>
          <w:rtl w:val="0"/>
        </w:rPr>
      </w:r>
    </w:p>
    <w:p w:rsidR="00000000" w:rsidDel="00000000" w:rsidP="00000000" w:rsidRDefault="00000000" w:rsidRPr="00000000" w14:paraId="00000022">
      <w:pPr>
        <w:spacing w:before="0" w:line="240" w:lineRule="auto"/>
        <w:jc w:val="center"/>
        <w:rPr>
          <w:rFonts w:ascii="EB Garamond" w:cs="EB Garamond" w:eastAsia="EB Garamond" w:hAnsi="EB Garamond"/>
          <w:sz w:val="24"/>
          <w:szCs w:val="24"/>
        </w:rPr>
      </w:pPr>
      <w:r w:rsidDel="00000000" w:rsidR="00000000" w:rsidRPr="00000000">
        <w:rPr>
          <w:rtl w:val="0"/>
        </w:rPr>
      </w:r>
    </w:p>
    <w:tbl>
      <w:tblPr>
        <w:tblStyle w:val="Table2"/>
        <w:tblW w:w="69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5"/>
        <w:tblGridChange w:id="0">
          <w:tblGrid>
            <w:gridCol w:w="6975"/>
          </w:tblGrid>
        </w:tblGridChange>
      </w:tblGrid>
      <w:tr>
        <w:trPr>
          <w:trHeight w:val="19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Contextualization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bl>
    <w:p w:rsidR="00000000" w:rsidDel="00000000" w:rsidP="00000000" w:rsidRDefault="00000000" w:rsidRPr="00000000" w14:paraId="00000026">
      <w:pPr>
        <w:spacing w:before="0" w:line="240" w:lineRule="auto"/>
        <w:jc w:val="center"/>
        <w:rPr>
          <w:rFonts w:ascii="EB Garamond" w:cs="EB Garamond" w:eastAsia="EB Garamond" w:hAnsi="EB Garamond"/>
          <w:sz w:val="24"/>
          <w:szCs w:val="24"/>
        </w:rPr>
      </w:pPr>
      <w:r w:rsidDel="00000000" w:rsidR="00000000" w:rsidRPr="00000000">
        <w:rPr>
          <w:rtl w:val="0"/>
        </w:rPr>
      </w:r>
    </w:p>
    <w:tbl>
      <w:tblPr>
        <w:tblStyle w:val="Table3"/>
        <w:tblW w:w="96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15"/>
        <w:tblGridChange w:id="0">
          <w:tblGrid>
            <w:gridCol w:w="9615"/>
          </w:tblGrid>
        </w:tblGridChange>
      </w:tblGrid>
      <w:tr>
        <w:trPr>
          <w:trHeight w:val="15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Thesis Statement</w:t>
            </w:r>
          </w:p>
          <w:p w:rsidR="00000000" w:rsidDel="00000000" w:rsidP="00000000" w:rsidRDefault="00000000" w:rsidRPr="00000000" w14:paraId="00000028">
            <w:pPr>
              <w:widowControl w:val="0"/>
              <w:spacing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sz w:val="24"/>
                <w:szCs w:val="24"/>
              </w:rPr>
            </w:pPr>
            <w:r w:rsidDel="00000000" w:rsidR="00000000" w:rsidRPr="00000000">
              <w:rPr>
                <w:rtl w:val="0"/>
              </w:rPr>
            </w:r>
          </w:p>
        </w:tc>
      </w:tr>
    </w:tbl>
    <w:p w:rsidR="00000000" w:rsidDel="00000000" w:rsidP="00000000" w:rsidRDefault="00000000" w:rsidRPr="00000000" w14:paraId="0000002A">
      <w:pPr>
        <w:spacing w:before="0" w:line="240" w:lineRule="auto"/>
        <w:jc w:val="center"/>
        <w:rPr>
          <w:rFonts w:ascii="EB Garamond" w:cs="EB Garamond" w:eastAsia="EB Garamond" w:hAnsi="EB Garamond"/>
          <w:sz w:val="24"/>
          <w:szCs w:val="24"/>
        </w:rPr>
      </w:pPr>
      <w:r w:rsidDel="00000000" w:rsidR="00000000" w:rsidRPr="00000000">
        <w:rPr>
          <w:rtl w:val="0"/>
        </w:rPr>
      </w:r>
    </w:p>
    <w:tbl>
      <w:tblPr>
        <w:tblStyle w:val="Table4"/>
        <w:tblW w:w="112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55"/>
        <w:gridCol w:w="5640"/>
        <w:tblGridChange w:id="0">
          <w:tblGrid>
            <w:gridCol w:w="5655"/>
            <w:gridCol w:w="5640"/>
          </w:tblGrid>
        </w:tblGridChange>
      </w:tblGrid>
      <w:tr>
        <w:trPr>
          <w:trHeight w:val="13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Argument 1: (Topic Sentence)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Argument 2: (Topic Sentence)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tl w:val="0"/>
              </w:rPr>
            </w:r>
          </w:p>
        </w:tc>
      </w:tr>
    </w:tbl>
    <w:p w:rsidR="00000000" w:rsidDel="00000000" w:rsidP="00000000" w:rsidRDefault="00000000" w:rsidRPr="00000000" w14:paraId="0000002F">
      <w:pPr>
        <w:spacing w:before="0" w:line="240" w:lineRule="auto"/>
        <w:jc w:val="center"/>
        <w:rPr>
          <w:rFonts w:ascii="EB Garamond" w:cs="EB Garamond" w:eastAsia="EB Garamond" w:hAnsi="EB Garamond"/>
          <w:sz w:val="24"/>
          <w:szCs w:val="24"/>
        </w:rPr>
      </w:pPr>
      <w:r w:rsidDel="00000000" w:rsidR="00000000" w:rsidRPr="00000000">
        <w:rPr>
          <w:rtl w:val="0"/>
        </w:rPr>
      </w:r>
    </w:p>
    <w:tbl>
      <w:tblPr>
        <w:tblStyle w:val="Table5"/>
        <w:tblW w:w="135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65"/>
        <w:gridCol w:w="6750"/>
        <w:tblGridChange w:id="0">
          <w:tblGrid>
            <w:gridCol w:w="6765"/>
            <w:gridCol w:w="6750"/>
          </w:tblGrid>
        </w:tblGridChange>
      </w:tblGrid>
      <w:tr>
        <w:trPr>
          <w:trHeight w:val="23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Evidence from the Documents to Support Paragraph 1:</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Evidence from the Documents to Support Paragraph 2:</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bl>
    <w:p w:rsidR="00000000" w:rsidDel="00000000" w:rsidP="00000000" w:rsidRDefault="00000000" w:rsidRPr="00000000" w14:paraId="00000038">
      <w:pPr>
        <w:spacing w:before="0" w:line="240" w:lineRule="auto"/>
        <w:jc w:val="center"/>
        <w:rPr>
          <w:rFonts w:ascii="EB Garamond" w:cs="EB Garamond" w:eastAsia="EB Garamond" w:hAnsi="EB Garamond"/>
          <w:sz w:val="24"/>
          <w:szCs w:val="24"/>
        </w:rPr>
      </w:pPr>
      <w:r w:rsidDel="00000000" w:rsidR="00000000" w:rsidRPr="00000000">
        <w:rPr>
          <w:rtl w:val="0"/>
        </w:rPr>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14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Evidence Beyond the Documents to Support Paragraph 1: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Evidence Beyond the Documents to Support Paragraph 1: </w:t>
            </w:r>
          </w:p>
          <w:p w:rsidR="00000000" w:rsidDel="00000000" w:rsidP="00000000" w:rsidRDefault="00000000" w:rsidRPr="00000000" w14:paraId="0000003E">
            <w:pPr>
              <w:widowControl w:val="0"/>
              <w:spacing w:line="240" w:lineRule="auto"/>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F">
            <w:pPr>
              <w:widowControl w:val="0"/>
              <w:spacing w:line="240" w:lineRule="auto"/>
              <w:jc w:val="left"/>
              <w:rPr>
                <w:rFonts w:ascii="EB Garamond" w:cs="EB Garamond" w:eastAsia="EB Garamond" w:hAnsi="EB Garamond"/>
                <w:sz w:val="24"/>
                <w:szCs w:val="24"/>
              </w:rPr>
            </w:pPr>
            <w:r w:rsidDel="00000000" w:rsidR="00000000" w:rsidRPr="00000000">
              <w:rPr>
                <w:rtl w:val="0"/>
              </w:rPr>
            </w:r>
          </w:p>
        </w:tc>
      </w:tr>
    </w:tbl>
    <w:p w:rsidR="00000000" w:rsidDel="00000000" w:rsidP="00000000" w:rsidRDefault="00000000" w:rsidRPr="00000000" w14:paraId="00000040">
      <w:pPr>
        <w:spacing w:before="0" w:line="240" w:lineRule="auto"/>
        <w:jc w:val="left"/>
        <w:rPr>
          <w:rFonts w:ascii="EB Garamond" w:cs="EB Garamond" w:eastAsia="EB Garamond" w:hAnsi="EB Garamond"/>
          <w:b w:val="1"/>
          <w:sz w:val="24"/>
          <w:szCs w:val="24"/>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