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EB Garamond" w:cs="EB Garamond" w:eastAsia="EB Garamond" w:hAnsi="EB Garamond"/>
          <w:b w:val="1"/>
        </w:rPr>
      </w:pPr>
      <w:r w:rsidDel="00000000" w:rsidR="00000000" w:rsidRPr="00000000">
        <w:rPr>
          <w:rtl w:val="0"/>
        </w:rPr>
      </w:r>
    </w:p>
    <w:tbl>
      <w:tblPr>
        <w:tblStyle w:val="Table1"/>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5"/>
        <w:gridCol w:w="7515"/>
        <w:gridCol w:w="1065"/>
        <w:gridCol w:w="1275"/>
        <w:tblGridChange w:id="0">
          <w:tblGrid>
            <w:gridCol w:w="945"/>
            <w:gridCol w:w="7515"/>
            <w:gridCol w:w="1065"/>
            <w:gridCol w:w="12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Period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1"/>
              </w:rPr>
            </w:pPr>
            <w:r w:rsidDel="00000000" w:rsidR="00000000" w:rsidRPr="00000000">
              <w:rPr>
                <w:rtl w:val="0"/>
              </w:rPr>
            </w:r>
          </w:p>
        </w:tc>
      </w:tr>
    </w:tbl>
    <w:p w:rsidR="00000000" w:rsidDel="00000000" w:rsidP="00000000" w:rsidRDefault="00000000" w:rsidRPr="00000000" w14:paraId="00000006">
      <w:pPr>
        <w:spacing w:after="0" w:line="240" w:lineRule="auto"/>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7">
      <w:pPr>
        <w:spacing w:after="0" w:line="240" w:lineRule="auto"/>
        <w:jc w:val="center"/>
        <w:rPr>
          <w:rFonts w:ascii="Garamond" w:cs="Garamond" w:eastAsia="Garamond" w:hAnsi="Garamond"/>
          <w:b w:val="1"/>
          <w:sz w:val="28"/>
          <w:szCs w:val="28"/>
        </w:rPr>
      </w:pPr>
      <w:r w:rsidDel="00000000" w:rsidR="00000000" w:rsidRPr="00000000">
        <w:rPr>
          <w:rFonts w:ascii="Garamond" w:cs="Garamond" w:eastAsia="Garamond" w:hAnsi="Garamond"/>
          <w:b w:val="1"/>
          <w:sz w:val="28"/>
          <w:szCs w:val="28"/>
          <w:rtl w:val="0"/>
        </w:rPr>
        <w:t xml:space="preserve">European Industrial Revolution</w:t>
      </w:r>
      <w:r w:rsidDel="00000000" w:rsidR="00000000" w:rsidRPr="00000000">
        <w:rPr>
          <w:rFonts w:ascii="Garamond" w:cs="Garamond" w:eastAsia="Garamond" w:hAnsi="Garamond"/>
          <w:b w:val="1"/>
          <w:sz w:val="28"/>
          <w:szCs w:val="28"/>
          <w:rtl w:val="0"/>
        </w:rPr>
        <w:t xml:space="preserve"> </w:t>
      </w:r>
      <w:r w:rsidDel="00000000" w:rsidR="00000000" w:rsidRPr="00000000">
        <w:rPr>
          <w:rFonts w:ascii="Garamond" w:cs="Garamond" w:eastAsia="Garamond" w:hAnsi="Garamond"/>
          <w:b w:val="1"/>
          <w:sz w:val="28"/>
          <w:szCs w:val="28"/>
          <w:rtl w:val="0"/>
        </w:rPr>
        <w:t xml:space="preserve">Document Analysis</w:t>
      </w:r>
    </w:p>
    <w:p w:rsidR="00000000" w:rsidDel="00000000" w:rsidP="00000000" w:rsidRDefault="00000000" w:rsidRPr="00000000" w14:paraId="00000008">
      <w:pPr>
        <w:spacing w:after="0" w:line="240" w:lineRule="auto"/>
        <w:jc w:val="center"/>
        <w:rPr>
          <w:rFonts w:ascii="Garamond" w:cs="Garamond" w:eastAsia="Garamond" w:hAnsi="Garamond"/>
          <w:b w:val="1"/>
          <w:sz w:val="28"/>
          <w:szCs w:val="28"/>
        </w:rPr>
      </w:pPr>
      <w:r w:rsidDel="00000000" w:rsidR="00000000" w:rsidRPr="00000000">
        <w:rPr>
          <w:rtl w:val="0"/>
        </w:rPr>
      </w:r>
    </w:p>
    <w:p w:rsidR="00000000" w:rsidDel="00000000" w:rsidP="00000000" w:rsidRDefault="00000000" w:rsidRPr="00000000" w14:paraId="00000009">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Evaluate the effects of the Industrial Revolution on European society during the period 1750 – 1900 CE.</w:t>
      </w:r>
    </w:p>
    <w:p w:rsidR="00000000" w:rsidDel="00000000" w:rsidP="00000000" w:rsidRDefault="00000000" w:rsidRPr="00000000" w14:paraId="0000000A">
      <w:pPr>
        <w:jc w:val="lef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We will work on the DBQ skills of Document Analysis with this activity. So utilize the question above as you look at the documents, thinking about how you would summarize the document in terms of the question, and how you would analyze the source of the document as well. Fill in the chart below with your analysis.</w:t>
      </w:r>
      <w:r w:rsidDel="00000000" w:rsidR="00000000" w:rsidRPr="00000000">
        <w:rPr>
          <w:rtl w:val="0"/>
        </w:rPr>
      </w:r>
    </w:p>
    <w:tbl>
      <w:tblPr>
        <w:tblStyle w:val="Table2"/>
        <w:tblW w:w="107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0"/>
        <w:gridCol w:w="4560"/>
        <w:gridCol w:w="4650"/>
        <w:tblGridChange w:id="0">
          <w:tblGrid>
            <w:gridCol w:w="1530"/>
            <w:gridCol w:w="4560"/>
            <w:gridCol w:w="4650"/>
          </w:tblGrid>
        </w:tblGridChange>
      </w:tblGrid>
      <w:tr>
        <w:tc>
          <w:tcPr/>
          <w:p w:rsidR="00000000" w:rsidDel="00000000" w:rsidP="00000000" w:rsidRDefault="00000000" w:rsidRPr="00000000" w14:paraId="0000000B">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Documents</w:t>
            </w:r>
          </w:p>
        </w:tc>
        <w:tc>
          <w:tcPr/>
          <w:p w:rsidR="00000000" w:rsidDel="00000000" w:rsidP="00000000" w:rsidRDefault="00000000" w:rsidRPr="00000000" w14:paraId="0000000C">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Summarize the document. What does it show us about the effects of the Industrial Revolution on European Society?</w:t>
            </w:r>
          </w:p>
        </w:tc>
        <w:tc>
          <w:tcPr/>
          <w:p w:rsidR="00000000" w:rsidDel="00000000" w:rsidP="00000000" w:rsidRDefault="00000000" w:rsidRPr="00000000" w14:paraId="0000000D">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Analyze an element of HAPP-Y:</w:t>
            </w:r>
          </w:p>
          <w:p w:rsidR="00000000" w:rsidDel="00000000" w:rsidP="00000000" w:rsidRDefault="00000000" w:rsidRPr="00000000" w14:paraId="0000000E">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(Historical Situation, Audience, Purpose, Point of View) including </w:t>
            </w:r>
            <w:r w:rsidDel="00000000" w:rsidR="00000000" w:rsidRPr="00000000">
              <w:rPr>
                <w:rFonts w:ascii="Garamond" w:cs="Garamond" w:eastAsia="Garamond" w:hAnsi="Garamond"/>
                <w:b w:val="1"/>
                <w:u w:val="single"/>
                <w:rtl w:val="0"/>
              </w:rPr>
              <w:t xml:space="preserve">WHY</w:t>
            </w:r>
            <w:r w:rsidDel="00000000" w:rsidR="00000000" w:rsidRPr="00000000">
              <w:rPr>
                <w:rFonts w:ascii="Garamond" w:cs="Garamond" w:eastAsia="Garamond" w:hAnsi="Garamond"/>
                <w:b w:val="1"/>
                <w:rtl w:val="0"/>
              </w:rPr>
              <w:t xml:space="preserve"> it matters to the interpretation of the source!</w:t>
            </w:r>
          </w:p>
        </w:tc>
      </w:tr>
      <w:tr>
        <w:tc>
          <w:tcPr/>
          <w:p w:rsidR="00000000" w:rsidDel="00000000" w:rsidP="00000000" w:rsidRDefault="00000000" w:rsidRPr="00000000" w14:paraId="0000000F">
            <w:pPr>
              <w:jc w:val="center"/>
              <w:rPr>
                <w:rFonts w:ascii="Garamond" w:cs="Garamond" w:eastAsia="Garamond" w:hAnsi="Garamond"/>
              </w:rPr>
            </w:pPr>
            <w:r w:rsidDel="00000000" w:rsidR="00000000" w:rsidRPr="00000000">
              <w:rPr>
                <w:rFonts w:ascii="Garamond" w:cs="Garamond" w:eastAsia="Garamond" w:hAnsi="Garamond"/>
                <w:rtl w:val="0"/>
              </w:rPr>
              <w:t xml:space="preserve">1: Bernhard’s Report on Dale’s Cotton Mills </w:t>
            </w:r>
          </w:p>
          <w:p w:rsidR="00000000" w:rsidDel="00000000" w:rsidP="00000000" w:rsidRDefault="00000000" w:rsidRPr="00000000" w14:paraId="00000010">
            <w:pPr>
              <w:jc w:val="center"/>
              <w:rPr>
                <w:rFonts w:ascii="Garamond" w:cs="Garamond" w:eastAsia="Garamond" w:hAnsi="Garamond"/>
              </w:rPr>
            </w:pPr>
            <w:r w:rsidDel="00000000" w:rsidR="00000000" w:rsidRPr="00000000">
              <w:rPr>
                <w:rFonts w:ascii="Garamond" w:cs="Garamond" w:eastAsia="Garamond" w:hAnsi="Garamond"/>
                <w:rtl w:val="0"/>
              </w:rPr>
              <w:t xml:space="preserve">(1798)</w:t>
            </w:r>
          </w:p>
          <w:p w:rsidR="00000000" w:rsidDel="00000000" w:rsidP="00000000" w:rsidRDefault="00000000" w:rsidRPr="00000000" w14:paraId="00000011">
            <w:pPr>
              <w:jc w:val="cente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012">
            <w:pPr>
              <w:jc w:val="cente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013">
            <w:pPr>
              <w:jc w:val="center"/>
              <w:rPr>
                <w:rFonts w:ascii="Garamond" w:cs="Garamond" w:eastAsia="Garamond" w:hAnsi="Garamond"/>
              </w:rPr>
            </w:pPr>
            <w:r w:rsidDel="00000000" w:rsidR="00000000" w:rsidRPr="00000000">
              <w:rPr>
                <w:rtl w:val="0"/>
              </w:rPr>
            </w:r>
          </w:p>
        </w:tc>
      </w:tr>
      <w:tr>
        <w:tc>
          <w:tcPr/>
          <w:p w:rsidR="00000000" w:rsidDel="00000000" w:rsidP="00000000" w:rsidRDefault="00000000" w:rsidRPr="00000000" w14:paraId="00000014">
            <w:pPr>
              <w:jc w:val="center"/>
              <w:rPr>
                <w:rFonts w:ascii="Garamond" w:cs="Garamond" w:eastAsia="Garamond" w:hAnsi="Garamond"/>
              </w:rPr>
            </w:pPr>
            <w:r w:rsidDel="00000000" w:rsidR="00000000" w:rsidRPr="00000000">
              <w:rPr>
                <w:rFonts w:ascii="Garamond" w:cs="Garamond" w:eastAsia="Garamond" w:hAnsi="Garamond"/>
                <w:rtl w:val="0"/>
              </w:rPr>
              <w:t xml:space="preserve">2: Knight’s Working Man’s Companion (1831)</w:t>
            </w:r>
          </w:p>
          <w:p w:rsidR="00000000" w:rsidDel="00000000" w:rsidP="00000000" w:rsidRDefault="00000000" w:rsidRPr="00000000" w14:paraId="00000015">
            <w:pPr>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16">
            <w:pPr>
              <w:jc w:val="cente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017">
            <w:pPr>
              <w:jc w:val="cente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018">
            <w:pPr>
              <w:jc w:val="center"/>
              <w:rPr>
                <w:rFonts w:ascii="Garamond" w:cs="Garamond" w:eastAsia="Garamond" w:hAnsi="Garamond"/>
              </w:rPr>
            </w:pPr>
            <w:r w:rsidDel="00000000" w:rsidR="00000000" w:rsidRPr="00000000">
              <w:rPr>
                <w:rtl w:val="0"/>
              </w:rPr>
            </w:r>
          </w:p>
        </w:tc>
      </w:tr>
      <w:tr>
        <w:tc>
          <w:tcPr/>
          <w:p w:rsidR="00000000" w:rsidDel="00000000" w:rsidP="00000000" w:rsidRDefault="00000000" w:rsidRPr="00000000" w14:paraId="00000019">
            <w:pPr>
              <w:jc w:val="center"/>
              <w:rPr>
                <w:rFonts w:ascii="Garamond" w:cs="Garamond" w:eastAsia="Garamond" w:hAnsi="Garamond"/>
              </w:rPr>
            </w:pPr>
            <w:r w:rsidDel="00000000" w:rsidR="00000000" w:rsidRPr="00000000">
              <w:rPr>
                <w:rFonts w:ascii="Garamond" w:cs="Garamond" w:eastAsia="Garamond" w:hAnsi="Garamond"/>
                <w:rtl w:val="0"/>
              </w:rPr>
              <w:t xml:space="preserve">3: Hebergam’s interview with, Sadler Commission (1832)</w:t>
            </w:r>
          </w:p>
          <w:p w:rsidR="00000000" w:rsidDel="00000000" w:rsidP="00000000" w:rsidRDefault="00000000" w:rsidRPr="00000000" w14:paraId="0000001A">
            <w:pPr>
              <w:jc w:val="cente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01B">
            <w:pPr>
              <w:jc w:val="cente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01C">
            <w:pPr>
              <w:jc w:val="center"/>
              <w:rPr>
                <w:rFonts w:ascii="Garamond" w:cs="Garamond" w:eastAsia="Garamond" w:hAnsi="Garamond"/>
              </w:rPr>
            </w:pPr>
            <w:r w:rsidDel="00000000" w:rsidR="00000000" w:rsidRPr="00000000">
              <w:rPr>
                <w:rtl w:val="0"/>
              </w:rPr>
            </w:r>
          </w:p>
        </w:tc>
      </w:tr>
      <w:tr>
        <w:tc>
          <w:tcPr/>
          <w:p w:rsidR="00000000" w:rsidDel="00000000" w:rsidP="00000000" w:rsidRDefault="00000000" w:rsidRPr="00000000" w14:paraId="0000001D">
            <w:pPr>
              <w:jc w:val="center"/>
              <w:rPr>
                <w:rFonts w:ascii="Garamond" w:cs="Garamond" w:eastAsia="Garamond" w:hAnsi="Garamond"/>
              </w:rPr>
            </w:pPr>
            <w:r w:rsidDel="00000000" w:rsidR="00000000" w:rsidRPr="00000000">
              <w:rPr>
                <w:rFonts w:ascii="Garamond" w:cs="Garamond" w:eastAsia="Garamond" w:hAnsi="Garamond"/>
                <w:rtl w:val="0"/>
              </w:rPr>
              <w:t xml:space="preserve">4: Ure’s Philosophy of Manufactures (1835)</w:t>
            </w:r>
          </w:p>
          <w:p w:rsidR="00000000" w:rsidDel="00000000" w:rsidP="00000000" w:rsidRDefault="00000000" w:rsidRPr="00000000" w14:paraId="0000001E">
            <w:pPr>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1F">
            <w:pPr>
              <w:jc w:val="cente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020">
            <w:pPr>
              <w:jc w:val="cente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021">
            <w:pPr>
              <w:jc w:val="center"/>
              <w:rPr>
                <w:rFonts w:ascii="Garamond" w:cs="Garamond" w:eastAsia="Garamond" w:hAnsi="Garamond"/>
              </w:rPr>
            </w:pPr>
            <w:r w:rsidDel="00000000" w:rsidR="00000000" w:rsidRPr="00000000">
              <w:rPr>
                <w:rtl w:val="0"/>
              </w:rPr>
            </w:r>
          </w:p>
        </w:tc>
      </w:tr>
      <w:tr>
        <w:tc>
          <w:tcPr/>
          <w:p w:rsidR="00000000" w:rsidDel="00000000" w:rsidP="00000000" w:rsidRDefault="00000000" w:rsidRPr="00000000" w14:paraId="00000022">
            <w:pPr>
              <w:jc w:val="center"/>
              <w:rPr>
                <w:rFonts w:ascii="Garamond" w:cs="Garamond" w:eastAsia="Garamond" w:hAnsi="Garamond"/>
              </w:rPr>
            </w:pPr>
            <w:r w:rsidDel="00000000" w:rsidR="00000000" w:rsidRPr="00000000">
              <w:rPr>
                <w:rFonts w:ascii="Garamond" w:cs="Garamond" w:eastAsia="Garamond" w:hAnsi="Garamond"/>
                <w:rtl w:val="0"/>
              </w:rPr>
              <w:t xml:space="preserve">5: Ashley’s Speech - Coal Mines </w:t>
            </w:r>
          </w:p>
          <w:p w:rsidR="00000000" w:rsidDel="00000000" w:rsidP="00000000" w:rsidRDefault="00000000" w:rsidRPr="00000000" w14:paraId="00000023">
            <w:pPr>
              <w:jc w:val="center"/>
              <w:rPr>
                <w:rFonts w:ascii="Garamond" w:cs="Garamond" w:eastAsia="Garamond" w:hAnsi="Garamond"/>
              </w:rPr>
            </w:pPr>
            <w:r w:rsidDel="00000000" w:rsidR="00000000" w:rsidRPr="00000000">
              <w:rPr>
                <w:rFonts w:ascii="Garamond" w:cs="Garamond" w:eastAsia="Garamond" w:hAnsi="Garamond"/>
                <w:rtl w:val="0"/>
              </w:rPr>
              <w:t xml:space="preserve"> (1842)</w:t>
            </w:r>
          </w:p>
          <w:p w:rsidR="00000000" w:rsidDel="00000000" w:rsidP="00000000" w:rsidRDefault="00000000" w:rsidRPr="00000000" w14:paraId="00000024">
            <w:pPr>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25">
            <w:pPr>
              <w:jc w:val="cente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026">
            <w:pPr>
              <w:jc w:val="cente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027">
            <w:pPr>
              <w:jc w:val="center"/>
              <w:rPr>
                <w:rFonts w:ascii="Garamond" w:cs="Garamond" w:eastAsia="Garamond" w:hAnsi="Garamond"/>
              </w:rPr>
            </w:pPr>
            <w:r w:rsidDel="00000000" w:rsidR="00000000" w:rsidRPr="00000000">
              <w:rPr>
                <w:rtl w:val="0"/>
              </w:rPr>
            </w:r>
          </w:p>
        </w:tc>
      </w:tr>
      <w:tr>
        <w:tc>
          <w:tcPr/>
          <w:p w:rsidR="00000000" w:rsidDel="00000000" w:rsidP="00000000" w:rsidRDefault="00000000" w:rsidRPr="00000000" w14:paraId="00000028">
            <w:pPr>
              <w:jc w:val="center"/>
              <w:rPr>
                <w:rFonts w:ascii="Garamond" w:cs="Garamond" w:eastAsia="Garamond" w:hAnsi="Garamond"/>
              </w:rPr>
            </w:pPr>
            <w:r w:rsidDel="00000000" w:rsidR="00000000" w:rsidRPr="00000000">
              <w:rPr>
                <w:rFonts w:ascii="Garamond" w:cs="Garamond" w:eastAsia="Garamond" w:hAnsi="Garamond"/>
                <w:rtl w:val="0"/>
              </w:rPr>
              <w:t xml:space="preserve">6 - Engels “Conditions of Working Class” </w:t>
            </w:r>
          </w:p>
          <w:p w:rsidR="00000000" w:rsidDel="00000000" w:rsidP="00000000" w:rsidRDefault="00000000" w:rsidRPr="00000000" w14:paraId="00000029">
            <w:pPr>
              <w:jc w:val="center"/>
              <w:rPr>
                <w:rFonts w:ascii="Garamond" w:cs="Garamond" w:eastAsia="Garamond" w:hAnsi="Garamond"/>
              </w:rPr>
            </w:pPr>
            <w:r w:rsidDel="00000000" w:rsidR="00000000" w:rsidRPr="00000000">
              <w:rPr>
                <w:rFonts w:ascii="Garamond" w:cs="Garamond" w:eastAsia="Garamond" w:hAnsi="Garamond"/>
                <w:rtl w:val="0"/>
              </w:rPr>
              <w:t xml:space="preserve">(1844)</w:t>
            </w:r>
          </w:p>
          <w:p w:rsidR="00000000" w:rsidDel="00000000" w:rsidP="00000000" w:rsidRDefault="00000000" w:rsidRPr="00000000" w14:paraId="0000002A">
            <w:pPr>
              <w:jc w:val="left"/>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02B">
            <w:pPr>
              <w:jc w:val="cente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02C">
            <w:pPr>
              <w:jc w:val="center"/>
              <w:rPr>
                <w:rFonts w:ascii="Garamond" w:cs="Garamond" w:eastAsia="Garamond" w:hAnsi="Garamond"/>
              </w:rPr>
            </w:pPr>
            <w:r w:rsidDel="00000000" w:rsidR="00000000" w:rsidRPr="00000000">
              <w:rPr>
                <w:rtl w:val="0"/>
              </w:rPr>
            </w:r>
          </w:p>
        </w:tc>
      </w:tr>
      <w:tr>
        <w:tc>
          <w:tcPr/>
          <w:p w:rsidR="00000000" w:rsidDel="00000000" w:rsidP="00000000" w:rsidRDefault="00000000" w:rsidRPr="00000000" w14:paraId="0000002D">
            <w:pPr>
              <w:jc w:val="center"/>
              <w:rPr>
                <w:rFonts w:ascii="Garamond" w:cs="Garamond" w:eastAsia="Garamond" w:hAnsi="Garamond"/>
              </w:rPr>
            </w:pPr>
            <w:r w:rsidDel="00000000" w:rsidR="00000000" w:rsidRPr="00000000">
              <w:rPr>
                <w:rFonts w:ascii="Garamond" w:cs="Garamond" w:eastAsia="Garamond" w:hAnsi="Garamond"/>
                <w:rtl w:val="0"/>
              </w:rPr>
              <w:t xml:space="preserve">7 - Maps of Manchester Comparison (1750 - 1850)</w:t>
            </w:r>
          </w:p>
          <w:p w:rsidR="00000000" w:rsidDel="00000000" w:rsidP="00000000" w:rsidRDefault="00000000" w:rsidRPr="00000000" w14:paraId="0000002E">
            <w:pPr>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2F">
            <w:pPr>
              <w:jc w:val="cente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030">
            <w:pPr>
              <w:jc w:val="cente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031">
            <w:pPr>
              <w:jc w:val="center"/>
              <w:rPr>
                <w:rFonts w:ascii="Garamond" w:cs="Garamond" w:eastAsia="Garamond" w:hAnsi="Garamond"/>
              </w:rPr>
            </w:pPr>
            <w:r w:rsidDel="00000000" w:rsidR="00000000" w:rsidRPr="00000000">
              <w:rPr>
                <w:rtl w:val="0"/>
              </w:rPr>
            </w:r>
          </w:p>
        </w:tc>
      </w:tr>
      <w:tr>
        <w:tc>
          <w:tcPr/>
          <w:p w:rsidR="00000000" w:rsidDel="00000000" w:rsidP="00000000" w:rsidRDefault="00000000" w:rsidRPr="00000000" w14:paraId="00000032">
            <w:pPr>
              <w:jc w:val="center"/>
              <w:rPr>
                <w:rFonts w:ascii="Garamond" w:cs="Garamond" w:eastAsia="Garamond" w:hAnsi="Garamond"/>
              </w:rPr>
            </w:pPr>
            <w:r w:rsidDel="00000000" w:rsidR="00000000" w:rsidRPr="00000000">
              <w:rPr>
                <w:rFonts w:ascii="Garamond" w:cs="Garamond" w:eastAsia="Garamond" w:hAnsi="Garamond"/>
                <w:rtl w:val="0"/>
              </w:rPr>
              <w:t xml:space="preserve">8 - Hartman’s Factory in Germany (1868)</w:t>
            </w:r>
          </w:p>
          <w:p w:rsidR="00000000" w:rsidDel="00000000" w:rsidP="00000000" w:rsidRDefault="00000000" w:rsidRPr="00000000" w14:paraId="00000033">
            <w:pPr>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34">
            <w:pPr>
              <w:jc w:val="cente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035">
            <w:pPr>
              <w:jc w:val="cente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036">
            <w:pPr>
              <w:jc w:val="center"/>
              <w:rPr>
                <w:rFonts w:ascii="Garamond" w:cs="Garamond" w:eastAsia="Garamond" w:hAnsi="Garamond"/>
              </w:rPr>
            </w:pPr>
            <w:r w:rsidDel="00000000" w:rsidR="00000000" w:rsidRPr="00000000">
              <w:rPr>
                <w:rtl w:val="0"/>
              </w:rPr>
            </w:r>
          </w:p>
        </w:tc>
      </w:tr>
      <w:tr>
        <w:tc>
          <w:tcPr/>
          <w:p w:rsidR="00000000" w:rsidDel="00000000" w:rsidP="00000000" w:rsidRDefault="00000000" w:rsidRPr="00000000" w14:paraId="00000037">
            <w:pPr>
              <w:jc w:val="center"/>
              <w:rPr>
                <w:rFonts w:ascii="Garamond" w:cs="Garamond" w:eastAsia="Garamond" w:hAnsi="Garamond"/>
              </w:rPr>
            </w:pPr>
            <w:r w:rsidDel="00000000" w:rsidR="00000000" w:rsidRPr="00000000">
              <w:rPr>
                <w:rFonts w:ascii="Garamond" w:cs="Garamond" w:eastAsia="Garamond" w:hAnsi="Garamond"/>
                <w:rtl w:val="0"/>
              </w:rPr>
              <w:t xml:space="preserve">9 - Clayton’s Photographs of Pit Brow Women</w:t>
            </w:r>
          </w:p>
          <w:p w:rsidR="00000000" w:rsidDel="00000000" w:rsidP="00000000" w:rsidRDefault="00000000" w:rsidRPr="00000000" w14:paraId="00000038">
            <w:pPr>
              <w:jc w:val="center"/>
              <w:rPr>
                <w:rFonts w:ascii="Garamond" w:cs="Garamond" w:eastAsia="Garamond" w:hAnsi="Garamond"/>
              </w:rPr>
            </w:pPr>
            <w:r w:rsidDel="00000000" w:rsidR="00000000" w:rsidRPr="00000000">
              <w:rPr>
                <w:rFonts w:ascii="Garamond" w:cs="Garamond" w:eastAsia="Garamond" w:hAnsi="Garamond"/>
                <w:rtl w:val="0"/>
              </w:rPr>
              <w:t xml:space="preserve"> (1865)</w:t>
            </w:r>
          </w:p>
          <w:p w:rsidR="00000000" w:rsidDel="00000000" w:rsidP="00000000" w:rsidRDefault="00000000" w:rsidRPr="00000000" w14:paraId="00000039">
            <w:pPr>
              <w:jc w:val="cente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03A">
            <w:pPr>
              <w:jc w:val="cente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03B">
            <w:pPr>
              <w:jc w:val="center"/>
              <w:rPr>
                <w:rFonts w:ascii="Garamond" w:cs="Garamond" w:eastAsia="Garamond" w:hAnsi="Garamond"/>
              </w:rPr>
            </w:pPr>
            <w:r w:rsidDel="00000000" w:rsidR="00000000" w:rsidRPr="00000000">
              <w:rPr>
                <w:rtl w:val="0"/>
              </w:rPr>
            </w:r>
          </w:p>
        </w:tc>
      </w:tr>
      <w:tr>
        <w:tc>
          <w:tcPr/>
          <w:p w:rsidR="00000000" w:rsidDel="00000000" w:rsidP="00000000" w:rsidRDefault="00000000" w:rsidRPr="00000000" w14:paraId="0000003C">
            <w:pPr>
              <w:jc w:val="center"/>
              <w:rPr>
                <w:rFonts w:ascii="Garamond" w:cs="Garamond" w:eastAsia="Garamond" w:hAnsi="Garamond"/>
              </w:rPr>
            </w:pPr>
            <w:r w:rsidDel="00000000" w:rsidR="00000000" w:rsidRPr="00000000">
              <w:rPr>
                <w:rFonts w:ascii="Garamond" w:cs="Garamond" w:eastAsia="Garamond" w:hAnsi="Garamond"/>
                <w:rtl w:val="0"/>
              </w:rPr>
              <w:t xml:space="preserve">10 - Table of Spread of Railways </w:t>
            </w:r>
          </w:p>
          <w:p w:rsidR="00000000" w:rsidDel="00000000" w:rsidP="00000000" w:rsidRDefault="00000000" w:rsidRPr="00000000" w14:paraId="0000003D">
            <w:pPr>
              <w:jc w:val="center"/>
              <w:rPr>
                <w:rFonts w:ascii="Garamond" w:cs="Garamond" w:eastAsia="Garamond" w:hAnsi="Garamond"/>
              </w:rPr>
            </w:pPr>
            <w:r w:rsidDel="00000000" w:rsidR="00000000" w:rsidRPr="00000000">
              <w:rPr>
                <w:rFonts w:ascii="Garamond" w:cs="Garamond" w:eastAsia="Garamond" w:hAnsi="Garamond"/>
                <w:rtl w:val="0"/>
              </w:rPr>
              <w:t xml:space="preserve">(1840 - 1900)</w:t>
            </w:r>
          </w:p>
          <w:p w:rsidR="00000000" w:rsidDel="00000000" w:rsidP="00000000" w:rsidRDefault="00000000" w:rsidRPr="00000000" w14:paraId="0000003E">
            <w:pPr>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3F">
            <w:pPr>
              <w:jc w:val="cente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040">
            <w:pPr>
              <w:jc w:val="cente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041">
            <w:pPr>
              <w:jc w:val="center"/>
              <w:rPr>
                <w:rFonts w:ascii="Garamond" w:cs="Garamond" w:eastAsia="Garamond" w:hAnsi="Garamond"/>
              </w:rPr>
            </w:pPr>
            <w:r w:rsidDel="00000000" w:rsidR="00000000" w:rsidRPr="00000000">
              <w:rPr>
                <w:rtl w:val="0"/>
              </w:rPr>
            </w:r>
          </w:p>
        </w:tc>
      </w:tr>
      <w:tr>
        <w:tc>
          <w:tcPr/>
          <w:p w:rsidR="00000000" w:rsidDel="00000000" w:rsidP="00000000" w:rsidRDefault="00000000" w:rsidRPr="00000000" w14:paraId="00000042">
            <w:pPr>
              <w:jc w:val="center"/>
              <w:rPr>
                <w:rFonts w:ascii="Garamond" w:cs="Garamond" w:eastAsia="Garamond" w:hAnsi="Garamond"/>
              </w:rPr>
            </w:pPr>
            <w:r w:rsidDel="00000000" w:rsidR="00000000" w:rsidRPr="00000000">
              <w:rPr>
                <w:rFonts w:ascii="Garamond" w:cs="Garamond" w:eastAsia="Garamond" w:hAnsi="Garamond"/>
                <w:rtl w:val="0"/>
              </w:rPr>
              <w:t xml:space="preserve">11 - Mining Disasters in United States </w:t>
            </w:r>
          </w:p>
          <w:p w:rsidR="00000000" w:rsidDel="00000000" w:rsidP="00000000" w:rsidRDefault="00000000" w:rsidRPr="00000000" w14:paraId="00000043">
            <w:pPr>
              <w:jc w:val="center"/>
              <w:rPr>
                <w:rFonts w:ascii="Garamond" w:cs="Garamond" w:eastAsia="Garamond" w:hAnsi="Garamond"/>
              </w:rPr>
            </w:pPr>
            <w:r w:rsidDel="00000000" w:rsidR="00000000" w:rsidRPr="00000000">
              <w:rPr>
                <w:rFonts w:ascii="Garamond" w:cs="Garamond" w:eastAsia="Garamond" w:hAnsi="Garamond"/>
                <w:rtl w:val="0"/>
              </w:rPr>
              <w:t xml:space="preserve">(1839 – 1870)</w:t>
            </w:r>
          </w:p>
          <w:p w:rsidR="00000000" w:rsidDel="00000000" w:rsidP="00000000" w:rsidRDefault="00000000" w:rsidRPr="00000000" w14:paraId="00000044">
            <w:pPr>
              <w:jc w:val="center"/>
              <w:rPr>
                <w:rFonts w:ascii="Garamond" w:cs="Garamond" w:eastAsia="Garamond" w:hAnsi="Garamond"/>
              </w:rPr>
            </w:pPr>
            <w:r w:rsidDel="00000000" w:rsidR="00000000" w:rsidRPr="00000000">
              <w:rPr>
                <w:rtl w:val="0"/>
              </w:rPr>
            </w:r>
          </w:p>
          <w:p w:rsidR="00000000" w:rsidDel="00000000" w:rsidP="00000000" w:rsidRDefault="00000000" w:rsidRPr="00000000" w14:paraId="00000045">
            <w:pPr>
              <w:jc w:val="cente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046">
            <w:pPr>
              <w:jc w:val="center"/>
              <w:rPr>
                <w:rFonts w:ascii="Garamond" w:cs="Garamond" w:eastAsia="Garamond" w:hAnsi="Garamond"/>
              </w:rPr>
            </w:pPr>
            <w:r w:rsidDel="00000000" w:rsidR="00000000" w:rsidRPr="00000000">
              <w:rPr>
                <w:rtl w:val="0"/>
              </w:rPr>
            </w:r>
          </w:p>
        </w:tc>
        <w:tc>
          <w:tcPr/>
          <w:p w:rsidR="00000000" w:rsidDel="00000000" w:rsidP="00000000" w:rsidRDefault="00000000" w:rsidRPr="00000000" w14:paraId="00000047">
            <w:pPr>
              <w:jc w:val="center"/>
              <w:rPr>
                <w:rFonts w:ascii="Garamond" w:cs="Garamond" w:eastAsia="Garamond" w:hAnsi="Garamond"/>
              </w:rPr>
            </w:pPr>
            <w:r w:rsidDel="00000000" w:rsidR="00000000" w:rsidRPr="00000000">
              <w:rPr>
                <w:rtl w:val="0"/>
              </w:rPr>
            </w:r>
          </w:p>
        </w:tc>
      </w:tr>
    </w:tbl>
    <w:p w:rsidR="00000000" w:rsidDel="00000000" w:rsidP="00000000" w:rsidRDefault="00000000" w:rsidRPr="00000000" w14:paraId="00000048">
      <w:pPr>
        <w:spacing w:after="0" w:line="240"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49">
      <w:pPr>
        <w:spacing w:after="0" w:line="240" w:lineRule="auto"/>
        <w:rPr>
          <w:rFonts w:ascii="Garamond" w:cs="Garamond" w:eastAsia="Garamond" w:hAnsi="Garamond"/>
          <w:color w:val="222222"/>
          <w:sz w:val="24"/>
          <w:szCs w:val="24"/>
          <w:highlight w:val="white"/>
        </w:rPr>
      </w:pPr>
      <w:bookmarkStart w:colFirst="0" w:colLast="0" w:name="_q154sd2zgluf" w:id="0"/>
      <w:bookmarkEnd w:id="0"/>
      <w:r w:rsidDel="00000000" w:rsidR="00000000" w:rsidRPr="00000000">
        <w:rPr>
          <w:rtl w:val="0"/>
        </w:rPr>
      </w:r>
    </w:p>
    <w:sectPr>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